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40499453f3f83246605295a6c49ef4cb4024bda"/>
    <w:p>
      <w:pPr>
        <w:pStyle w:val="Heading3"/>
      </w:pPr>
      <w:r>
        <w:t xml:space="preserve">Федеральное агентство железнодорожного транспорта настоящим сообщает о возможном установлении публичных сервитутов в интересах ОАО «РЖД»</w:t>
      </w:r>
    </w:p>
    <w:p>
      <w:pPr>
        <w:pStyle w:val="FirstParagraph"/>
      </w:pPr>
      <w:r>
        <w:t xml:space="preserve">10.12.2024</w:t>
      </w:r>
    </w:p>
    <w:p>
      <w:pPr>
        <w:pStyle w:val="BodyText"/>
      </w:pPr>
      <w:r>
        <w:t xml:space="preserve">в целях обеспечения строительства, реконструкции объектов инфраструктуры при реализации объекта «Реконструкция участка Москва-Пассажирская-Курская (вкл.) – Москва-Товарная-Курская-Карачарово (искл.) со строительством дополнительных главных путей»,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сроком 46 месяцев в отношении следующих земельных участков и земель в границах кадастровых кварталов:</w:t>
      </w:r>
    </w:p>
    <w:p>
      <w:pPr>
        <w:pStyle w:val="BodyText"/>
      </w:pPr>
      <w:r>
        <w:br/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t xml:space="preserve">Кадастровый номер земельного участка/кадастрового квартала</w:t>
            </w:r>
          </w:p>
        </w:tc>
        <w:tc>
          <w:tcPr/>
          <w:p>
            <w:pPr>
              <w:jc w:val="left"/>
            </w:pPr>
            <w:r>
              <w:t xml:space="preserve">Адрес или иное описание местоположения земельного участка</w:t>
            </w:r>
          </w:p>
        </w:tc>
        <w:tc>
          <w:tcPr/>
          <w:p>
            <w:pPr>
              <w:jc w:val="left"/>
            </w:pPr>
            <w: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>
        <w:tc>
          <w:tcPr/>
          <w:p>
            <w:pPr>
              <w:jc w:val="left"/>
            </w:pPr>
            <w:r>
              <w:t xml:space="preserve">77:01:0006032:54</w:t>
            </w:r>
          </w:p>
        </w:tc>
        <w:tc>
          <w:tcPr/>
          <w:p>
            <w:pPr>
              <w:jc w:val="left"/>
            </w:pPr>
            <w:r>
              <w:t xml:space="preserve">Москва, Нижний международный пер, вл. 10, стр. 1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77:04:0001009:44</w:t>
            </w:r>
          </w:p>
        </w:tc>
        <w:tc>
          <w:tcPr/>
          <w:p>
            <w:pPr>
              <w:jc w:val="left"/>
            </w:pPr>
            <w:r>
              <w:t xml:space="preserve">Москва, ш. Энтузиастов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77:04:0006029:90</w:t>
            </w:r>
          </w:p>
        </w:tc>
        <w:tc>
          <w:tcPr/>
          <w:p>
            <w:pPr>
              <w:jc w:val="left"/>
            </w:pPr>
            <w:r>
              <w:t xml:space="preserve">Москва, ул. Рогожская Застава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77:04:0001009</w:t>
            </w:r>
          </w:p>
        </w:tc>
        <w:tc>
          <w:tcPr/>
          <w:p>
            <w:pPr>
              <w:jc w:val="left"/>
            </w:pPr>
            <w:r>
              <w:t xml:space="preserve">Москва, ЮВАО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77:04:0001012:18</w:t>
            </w:r>
          </w:p>
        </w:tc>
        <w:tc>
          <w:tcPr/>
          <w:p>
            <w:pPr>
              <w:jc w:val="left"/>
            </w:pPr>
            <w:r>
              <w:t xml:space="preserve">Москва, ул. Рогожский поселок, вл. 3, стр. 1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77:04:0001009:44</w:t>
            </w:r>
          </w:p>
        </w:tc>
        <w:tc>
          <w:tcPr/>
          <w:p>
            <w:pPr>
              <w:jc w:val="left"/>
            </w:pPr>
            <w:r>
              <w:t xml:space="preserve">Москва, ш. Энтузиастов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77:01:0003003:49</w:t>
            </w:r>
          </w:p>
        </w:tc>
        <w:tc>
          <w:tcPr/>
          <w:p>
            <w:pPr>
              <w:jc w:val="left"/>
            </w:pPr>
            <w:r>
              <w:t xml:space="preserve">Москва, ул. Нижняя Сыромятническая, з/у 01/77/01964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77:04:0001007:85</w:t>
            </w:r>
          </w:p>
        </w:tc>
        <w:tc>
          <w:tcPr/>
          <w:p>
            <w:pPr>
              <w:jc w:val="left"/>
            </w:pPr>
            <w:r>
              <w:t xml:space="preserve">Москва, ул. Золоторожская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77:04:0001011:63</w:t>
            </w:r>
          </w:p>
        </w:tc>
        <w:tc>
          <w:tcPr/>
          <w:p>
            <w:pPr>
              <w:jc w:val="left"/>
            </w:pPr>
            <w:r>
              <w:t xml:space="preserve">Москва, ул. Волочаевская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77:04:0001021:18</w:t>
            </w:r>
          </w:p>
        </w:tc>
        <w:tc>
          <w:tcPr/>
          <w:p>
            <w:pPr>
              <w:jc w:val="left"/>
            </w:pPr>
            <w:r>
              <w:t xml:space="preserve">Москва, ул. Волочаевская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77:04:0001021:20</w:t>
            </w:r>
          </w:p>
        </w:tc>
        <w:tc>
          <w:tcPr/>
          <w:p>
            <w:pPr>
              <w:jc w:val="left"/>
            </w:pPr>
            <w:r>
              <w:t xml:space="preserve">Москва, Средний Золоторожский пер.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77:01:0003003:43</w:t>
            </w:r>
          </w:p>
        </w:tc>
        <w:tc>
          <w:tcPr/>
          <w:p>
            <w:pPr>
              <w:jc w:val="left"/>
            </w:pPr>
            <w:r>
              <w:t xml:space="preserve">Москва, наб. Костомароская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77:04:0001021</w:t>
            </w:r>
          </w:p>
        </w:tc>
        <w:tc>
          <w:tcPr/>
          <w:p>
            <w:pPr>
              <w:jc w:val="left"/>
            </w:pPr>
            <w:r>
              <w:t xml:space="preserve">Москва, ЮВАО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77:04:0001007:91</w:t>
            </w:r>
          </w:p>
        </w:tc>
        <w:tc>
          <w:tcPr/>
          <w:p>
            <w:pPr>
              <w:jc w:val="left"/>
            </w:pPr>
            <w:r>
              <w:t xml:space="preserve">Москва, Золоторожская набережная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77:04:0001015:34</w:t>
            </w:r>
          </w:p>
        </w:tc>
        <w:tc>
          <w:tcPr/>
          <w:p>
            <w:pPr>
              <w:jc w:val="left"/>
            </w:pPr>
            <w:r>
              <w:t xml:space="preserve">Москва, ул. Нижегородская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77:01:0006032:69</w:t>
            </w:r>
          </w:p>
        </w:tc>
        <w:tc>
          <w:tcPr/>
          <w:p>
            <w:pPr>
              <w:jc w:val="left"/>
            </w:pPr>
            <w:r>
              <w:t xml:space="preserve">Москва, ул. Нижегородская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77:04:0001015</w:t>
            </w:r>
          </w:p>
        </w:tc>
        <w:tc>
          <w:tcPr/>
          <w:p>
            <w:pPr>
              <w:jc w:val="left"/>
            </w:pPr>
            <w:r>
              <w:t xml:space="preserve">Москва, ЮВАО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77:01:0003061:16</w:t>
            </w:r>
          </w:p>
        </w:tc>
        <w:tc>
          <w:tcPr/>
          <w:p>
            <w:pPr>
              <w:jc w:val="left"/>
            </w:pPr>
            <w:r>
              <w:t xml:space="preserve">Москва, пер. Большой Полуярославский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77:01:0003002:2</w:t>
            </w:r>
          </w:p>
        </w:tc>
        <w:tc>
          <w:tcPr/>
          <w:p>
            <w:pPr>
              <w:jc w:val="left"/>
            </w:pPr>
            <w:r>
              <w:t xml:space="preserve">Москва, пер. 3-й Сыромятнический, вл. 3/9, стр. 1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77:04:0001015:20</w:t>
            </w:r>
          </w:p>
        </w:tc>
        <w:tc>
          <w:tcPr/>
          <w:p>
            <w:pPr>
              <w:jc w:val="left"/>
            </w:pPr>
            <w:r>
              <w:t xml:space="preserve">Москва, ул. Нижегородская, 29-33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/>
          <w:p>
            <w:pPr>
              <w:jc w:val="left"/>
            </w:pPr>
            <w:r>
              <w:t xml:space="preserve">77:04:0001022:14</w:t>
            </w:r>
          </w:p>
        </w:tc>
        <w:tc>
          <w:tcPr/>
          <w:p>
            <w:pPr>
              <w:jc w:val="left"/>
            </w:pPr>
            <w:r>
              <w:t xml:space="preserve">Москва, ул. Рогожский Поселок</w:t>
            </w:r>
          </w:p>
        </w:tc>
        <w:tc>
          <w:tcPr/>
          <w:p>
            <w:pPr>
              <w:jc w:val="left"/>
            </w:pPr>
            <w:r>
              <w:t xml:space="preserve">12 месяцев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t xml:space="preserve">Федеральное агентство железнодорожного транспорта</w:t>
            </w:r>
          </w:p>
          <w:p>
            <w:pPr>
              <w:jc w:val="left"/>
            </w:pPr>
            <w:r>
              <w:t xml:space="preserve">ул. Старая Басманная, Москва, д. 11/2, стр. 1, 105064</w:t>
            </w:r>
          </w:p>
          <w:p>
            <w:pPr>
              <w:jc w:val="left"/>
            </w:pPr>
            <w:r>
              <w:t xml:space="preserve">тел.: 8(499) 550-34-36; адрес электронной почты: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info@roszeldor.ru</w:t>
              </w:r>
            </w:hyperlink>
            <w:r>
              <w:t xml:space="preserve"> </w:t>
            </w:r>
          </w:p>
          <w:p>
            <w:pPr>
              <w:jc w:val="left"/>
            </w:pPr>
            <w:r>
              <w:t xml:space="preserve">время приема: согласно графику по предварительной записи</w:t>
            </w:r>
          </w:p>
          <w:p>
            <w:pPr>
              <w:jc w:val="left"/>
            </w:pPr>
            <w:r>
              <w:t xml:space="preserve">(адреса, по которым заинтересованные лица могут ознакомиться с поступившим ходатайством</w:t>
            </w:r>
            <w:r>
              <w:br/>
            </w:r>
            <w:r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t xml:space="preserve">Федеральное агентство железнодорожного транспорта</w:t>
            </w:r>
          </w:p>
          <w:p>
            <w:pPr>
              <w:jc w:val="left"/>
            </w:pPr>
            <w:r>
              <w:t xml:space="preserve">ул. Старая Басманная, Москва, д. 11/2, стр. 1, 105064</w:t>
            </w:r>
          </w:p>
          <w:p>
            <w:pPr>
              <w:jc w:val="left"/>
            </w:pPr>
            <w: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>
            <w:pPr>
              <w:jc w:val="left"/>
            </w:pPr>
            <w: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hyperlink r:id="rId21">
              <w:r>
                <w:rPr>
                  <w:rStyle w:val="Hyperlink"/>
                </w:rPr>
                <w:t xml:space="preserve">https://uvao.mos.ru</w:t>
              </w:r>
            </w:hyperlink>
          </w:p>
          <w:p>
            <w:pPr>
              <w:jc w:val="left"/>
            </w:pPr>
            <w:hyperlink r:id="rId22">
              <w:r>
                <w:rPr>
                  <w:rStyle w:val="Hyperlink"/>
                </w:rPr>
                <w:t xml:space="preserve">https://cao.mos.ru</w:t>
              </w:r>
            </w:hyperlink>
          </w:p>
          <w:p>
            <w:pPr>
              <w:jc w:val="left"/>
            </w:pPr>
            <w:hyperlink r:id="rId23">
              <w:r>
                <w:rPr>
                  <w:rStyle w:val="Hyperlink"/>
                </w:rPr>
                <w:t xml:space="preserve">https://rlw.gov.ru</w:t>
              </w:r>
            </w:hyperlink>
          </w:p>
          <w:p>
            <w:pPr>
              <w:jc w:val="left"/>
            </w:pPr>
            <w:r>
              <w:t xml:space="preserve"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t xml:space="preserve">Распоряжение Росжелдора от 21.10.2020 № АИ-365-р</w:t>
            </w:r>
            <w:r>
              <w:br/>
            </w:r>
            <w:r>
              <w:t xml:space="preserve">(с изменениями от 25.03.2022 № АИ-199-р и от 03.02.2023 № ВЛ-61-р)</w:t>
            </w:r>
            <w:r>
              <w:br/>
            </w:r>
            <w:r>
              <w:t xml:space="preserve"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br/>
            </w:r>
            <w:r>
              <w:t xml:space="preserve">«Реконструкция участка Москва-Пассажирская-Курская (вкл.) – Москва-Товарная-Курская-Карачарово (искл.) со строительством дополнительных главных путей»</w:t>
            </w:r>
            <w:r>
              <w:br/>
            </w:r>
          </w:p>
          <w:p>
            <w:pPr>
              <w:jc w:val="left"/>
            </w:pPr>
            <w:r>
              <w:t xml:space="preserve"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hyperlink r:id="rId21">
              <w:r>
                <w:rPr>
                  <w:rStyle w:val="Hyperlink"/>
                </w:rPr>
                <w:t xml:space="preserve">https://uvao.mos.ru</w:t>
              </w:r>
            </w:hyperlink>
          </w:p>
          <w:p>
            <w:pPr>
              <w:jc w:val="left"/>
            </w:pPr>
            <w:hyperlink r:id="rId22">
              <w:r>
                <w:rPr>
                  <w:rStyle w:val="Hyperlink"/>
                </w:rPr>
                <w:t xml:space="preserve">https://cao.mos.ru</w:t>
              </w:r>
            </w:hyperlink>
          </w:p>
          <w:p>
            <w:pPr>
              <w:jc w:val="left"/>
            </w:pPr>
            <w:hyperlink r:id="rId24">
              <w:r>
                <w:rPr>
                  <w:rStyle w:val="Hyperlink"/>
                </w:rPr>
                <w:t xml:space="preserve">https://stroi.mos.ru/</w:t>
              </w:r>
            </w:hyperlink>
          </w:p>
          <w:p>
            <w:pPr>
              <w:jc w:val="left"/>
            </w:pPr>
            <w:r>
              <w:t xml:space="preserve"> </w:t>
            </w:r>
            <w:r>
              <w:t xml:space="preserve"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>
            <w:pPr>
              <w:jc w:val="left"/>
            </w:pPr>
            <w:r>
              <w:t xml:space="preserve">(описание местоположения границ публичного сервитута)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http://uvao.mos.ru/construction-real-estate-property/withdrawal-of-land-plots-for-state-needs/2024/detail/12710739.html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uvao.mos.ru" TargetMode="External" /><Relationship Type="http://schemas.openxmlformats.org/officeDocument/2006/relationships/hyperlink" Id="rId25" Target="http://uvao.mos.ru/construction-real-estate-property/withdrawal-of-land-plots-for-state-needs/2024/detail/12710739.html" TargetMode="External" /><Relationship Type="http://schemas.openxmlformats.org/officeDocument/2006/relationships/hyperlink" Id="rId22" Target="https://cao.mos.ru/" TargetMode="External" /><Relationship Type="http://schemas.openxmlformats.org/officeDocument/2006/relationships/hyperlink" Id="rId23" Target="https://rlw.gov.ru/" TargetMode="External" /><Relationship Type="http://schemas.openxmlformats.org/officeDocument/2006/relationships/hyperlink" Id="rId21" Target="https://uvao.mos.ru/" TargetMode="External" /><Relationship Type="http://schemas.openxmlformats.org/officeDocument/2006/relationships/hyperlink" Id="rId24" Target="https://www.mos.ru/mka/" TargetMode="External" /><Relationship Type="http://schemas.openxmlformats.org/officeDocument/2006/relationships/hyperlink" Id="rId20" Target="mailto:info@roszeldo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uvao.mos.ru" TargetMode="External" /><Relationship Type="http://schemas.openxmlformats.org/officeDocument/2006/relationships/hyperlink" Id="rId25" Target="http://uvao.mos.ru/construction-real-estate-property/withdrawal-of-land-plots-for-state-needs/2024/detail/12710739.html" TargetMode="External" /><Relationship Type="http://schemas.openxmlformats.org/officeDocument/2006/relationships/hyperlink" Id="rId22" Target="https://cao.mos.ru/" TargetMode="External" /><Relationship Type="http://schemas.openxmlformats.org/officeDocument/2006/relationships/hyperlink" Id="rId23" Target="https://rlw.gov.ru/" TargetMode="External" /><Relationship Type="http://schemas.openxmlformats.org/officeDocument/2006/relationships/hyperlink" Id="rId21" Target="https://uvao.mos.ru/" TargetMode="External" /><Relationship Type="http://schemas.openxmlformats.org/officeDocument/2006/relationships/hyperlink" Id="rId24" Target="https://www.mos.ru/mka/" TargetMode="External" /><Relationship Type="http://schemas.openxmlformats.org/officeDocument/2006/relationships/hyperlink" Id="rId20" Target="mailto:info@roszeldo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2025-07-03T23:49:52Z</dcterms:created>
  <dcterms:modified xsi:type="dcterms:W3CDTF">2025-07-03T23:49:52Z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