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f9507f43200071b36fec6206d4dc475235e2"/>
    <w:p>
      <w:pPr>
        <w:pStyle w:val="Heading3"/>
      </w:pPr>
      <w:r>
        <w:t xml:space="preserve">«Третьяковскую», «Спортивную» и «Китай-город» оформят с учетом пожеланий активных граждан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Оформление вестибюлей станций метро «Третьяковская», «Спортивная», «Китай-город» Калужско-Рижской и Таганско-Краснопресненской линий выберут пользователи сервиса «Активный гражданин».</w:t>
      </w:r>
    </w:p>
    <w:p>
      <w:pPr>
        <w:pStyle w:val="BodyText"/>
      </w:pPr>
      <w:r>
        <w:t xml:space="preserve">Для четырех этих станций разработаны индивидуальные авторские дизайнерские решения. Предложения дизайнеров оригинальны. Так, «Третьяковскую» предлагается либо оформить репродукциями картин Третьяковской галереи, разместив в переходах афиши этого значимого культурного объекта, либо, сохранив первоначальный облик станции, модернизировать потолки и светильники, а также покрасить колонны и стены в светлые тона. Именно за один из этих вариантов оформления станции предстоит проголосовать активным гражданам. Электронный референдум по дизайну «Третьяковской» стартует на «Активном гражданине» первым – 29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http://uvao.mos.ru/presscenter/news/detail/1377605.html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7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7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2023-06-14T23:36:17Z</dcterms:created>
  <dcterms:modified xsi:type="dcterms:W3CDTF">2023-06-14T23:36:17Z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