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722a565d34bbd7a1c47d3c270d4b8899d72f"/>
    <w:p>
      <w:pPr>
        <w:pStyle w:val="Heading3"/>
      </w:pPr>
      <w:r>
        <w:t xml:space="preserve">Жители проголосовали за дополнительное освещение катка в Капотне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Жители Капотни – участники проекта «Активный гражданин» поддержали установку дополнительных источников света на катке, который находится в 1-м квартале района. За эту инициативу проголосовало более 71% участников опроса. Против дооборудования катка высказались 8,5% респондентов. Около 12,48% посчитали, что этот вопрос должны решать специалисты.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Спортивная площадка в 1-м квартале Капотни удобное место для активного досуга жителей. Летом на ней играют в футбол, зимой, когда заливают искусственный лед, – катаются на коньках или проводят хоккейные турниры. Единственный недостаток – нехватка освещения. В вечернее время на площадке работают всего две световые опоры.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http://uvao.mos.ru/presscenter/news/detail/1824821.html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24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824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2025-03-07T02:47:15Z</dcterms:created>
  <dcterms:modified xsi:type="dcterms:W3CDTF">2025-03-07T02:47:15Z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