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74822bec8249b53caebb99074116d9f64b6b0"/>
    <w:p>
      <w:pPr>
        <w:pStyle w:val="Heading3"/>
      </w:pPr>
      <w:r>
        <w:t xml:space="preserve">Яблони и сирень расцветут во дворах Нижегородского района</w:t>
      </w:r>
    </w:p>
    <w:p>
      <w:pPr>
        <w:pStyle w:val="FirstParagraph"/>
      </w:pPr>
      <w:r>
        <w:t xml:space="preserve">13.04.2016</w:t>
      </w:r>
    </w:p>
    <w:p>
      <w:pPr>
        <w:pStyle w:val="BodyText"/>
      </w:pPr>
      <w:r>
        <w:drawing>
          <wp:inline>
            <wp:extent cx="3556000" cy="28295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13.04_ablon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829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Более 40 деревьев разных пород и около 120 кустарников будут высажены на территории района Нижегородский в рамках акции «Миллион деревьев».</w:t>
      </w:r>
      <w:r>
        <w:br/>
      </w:r>
      <w:r>
        <w:br/>
      </w:r>
      <w:r>
        <w:t xml:space="preserve">Яблони, липы, кусты сирени, а также растения с экзотическими названиями амурский бархат, морозостойкий манчжурский орех и древовидные караганы будут радовать глаз жителей домов № 63, № 66 и № 83 Д по Нижегородской улице. А на Чистопольской улице и Рязанском проспекте появятся дубы и клены.</w:t>
      </w:r>
      <w:r>
        <w:br/>
      </w:r>
      <w:r>
        <w:br/>
      </w:r>
      <w:r>
        <w:t xml:space="preserve">Данные виды растений и адреса придомовых территорий, наиболее нуждающихся в озеленении, были выбраны самими жителями – в ходе проведенного электронного референдума в системе «Активный гражданин».</w:t>
      </w:r>
      <w:r>
        <w:br/>
      </w:r>
      <w:r>
        <w:br/>
      </w:r>
      <w:r>
        <w:t xml:space="preserve">Акция «Миллион деревьев», которая действует в столице с 2013 года, пройдет 22 апреля.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http://uvao.mos.ru/presscenter/news/detail/2769323.html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769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769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2025-02-24T19:34:47Z</dcterms:created>
  <dcterms:modified xsi:type="dcterms:W3CDTF">2025-02-24T19:34:47Z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