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3ee6db4f48e314975833b010e3061d2927a948"/>
    <w:p>
      <w:pPr>
        <w:pStyle w:val="Heading3"/>
      </w:pPr>
      <w:r>
        <w:t xml:space="preserve">«Активные граждане» высказались по поводу накопления средств на капремонт</w:t>
      </w:r>
    </w:p>
    <w:p>
      <w:pPr>
        <w:pStyle w:val="FirstParagraph"/>
      </w:pPr>
      <w:r>
        <w:t xml:space="preserve">12.09.2016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6f6/kapremont_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Почти 148 тысяч активных горожан приняли участие в электронном референдуме, посвященном накоплению средств на капремонт.</w:t>
      </w:r>
      <w:r>
        <w:br/>
      </w:r>
      <w:r>
        <w:br/>
      </w:r>
      <w:r>
        <w:t xml:space="preserve">Голосование на «Активном гражданине» проходило среди участников проекта, проживающих в домах, которые копят средства на счете регионального фонда капремонта.</w:t>
      </w:r>
      <w:r>
        <w:br/>
      </w:r>
      <w:r>
        <w:br/>
      </w:r>
      <w:r>
        <w:t xml:space="preserve">– Участникам проекта «Активный гражданин», которые спустя год хотят изменить способ накопления с «общего котла» на спецсчет, город готов оказать организационную поддержку в подготовке документов и проведении общего собрания жильцов для такого перехода, – сообщили в пресс-службе проекта «Активный гражданин». – На помощь могут рассчитывать дома, набравшие большинство голосов в проекте.</w:t>
      </w:r>
      <w:r>
        <w:br/>
      </w:r>
      <w:r>
        <w:br/>
      </w:r>
      <w:r>
        <w:t xml:space="preserve">По итогам голосования большинство участников (38%) затруднились с ответом, почти четверть опрошенных решили не менять способ накопления и не переходить на спецсчет, около 11% голосовавших не являются собственниками жилья (поэтому не станут участвовать на общем собрании), более 9% посчитали, что помощь в таком вопросе им не нужна, а более 26% участников опроса думают, что помощь города им необходима.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http://uvao.mos.ru/presscenter/news/detail/3725687.html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256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256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2025-02-17T15:58:42Z</dcterms:created>
  <dcterms:modified xsi:type="dcterms:W3CDTF">2025-02-17T15:58:42Z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