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816281685dcc77aec8e9ca73286225fd276ba3"/>
    <w:p>
      <w:pPr>
        <w:pStyle w:val="Heading3"/>
      </w:pPr>
      <w:r>
        <w:t xml:space="preserve">Более 2,5 тысячи МАФ установили на набережной Москвы-реки в Капотне</w:t>
      </w:r>
    </w:p>
    <w:p>
      <w:pPr>
        <w:pStyle w:val="FirstParagraph"/>
      </w:pPr>
      <w:r>
        <w:t xml:space="preserve">09.01.2020</w:t>
      </w:r>
    </w:p>
    <w:p>
      <w:pPr>
        <w:pStyle w:val="BodyText"/>
      </w:pPr>
      <w:r>
        <w:rPr>
          <w:iCs/>
          <w:i/>
          <w:bCs/>
          <w:b/>
        </w:rPr>
        <w:t xml:space="preserve">Более 2,5 тысячи малых архитектурных форм появилось в рамках благоустройства на набережной Москвы-реки в Капотне.</w:t>
      </w:r>
    </w:p>
    <w:p>
      <w:pPr>
        <w:pStyle w:val="BodyText"/>
      </w:pPr>
      <w:r>
        <w:t xml:space="preserve">- На набережной Москвы-реки произвели монтаж 2 578 малых архитектурных форм. Это 100 процентов от проектного объема, - рассказали в управе района Капотня.</w:t>
      </w:r>
    </w:p>
    <w:p>
      <w:pPr>
        <w:pStyle w:val="BodyText"/>
      </w:pPr>
      <w:r>
        <w:t xml:space="preserve">Кроме того, на объекте устроили 36 995 квадратных метров дорожек и площадок из бетонной плитки и 25 608 погонных метров бортового камня.</w:t>
      </w:r>
    </w:p>
    <w:p>
      <w:pPr>
        <w:pStyle w:val="BodyText"/>
      </w:pPr>
      <w:r>
        <w:t xml:space="preserve">Работы по комплексному благоустройству парка вдоль Москвы-реки по проектируемому проезду № 5468 в Капотне начаты комплексом городского хозяйства Москвы в 2019 году в рамках реализации государственной программы «Развитие городской среды». Общая площадь благоустройства – 50,3 гектара. Протяженность участка – 2,5 километра. Данная территория расположена в западной части района Капотня.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http://uvao.mos.ru/presscenter/news/detail/8606580.html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86065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86065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2025-03-07T15:20:32Z</dcterms:created>
  <dcterms:modified xsi:type="dcterms:W3CDTF">2025-03-07T15:20:32Z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