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d4648cf8d031d9a4bcb4a2c20e30b2e638404b"/>
    <w:p>
      <w:pPr>
        <w:pStyle w:val="Heading3"/>
      </w:pPr>
      <w:r>
        <w:t xml:space="preserve">Авитоминоз и состояние хронической усталости</w:t>
      </w:r>
    </w:p>
    <w:p>
      <w:pPr>
        <w:pStyle w:val="FirstParagraph"/>
      </w:pPr>
      <w:r>
        <w:t xml:space="preserve">06.04.2023</w:t>
      </w:r>
    </w:p>
    <w:p>
      <w:pPr>
        <w:pStyle w:val="BodyText"/>
      </w:pPr>
      <w:hyperlink r:id="rId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http://uvao.mos.ru/presscenter/oficialno/detail/11512724.html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_local/video/video-06-04-23-11-57.mov" TargetMode="Externa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presscenter/oficialno/detail/115127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_local/video/video-06-04-23-11-57.mov" TargetMode="Externa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presscenter/oficialno/detail/115127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2025-04-03T15:58:18Z</dcterms:created>
  <dcterms:modified xsi:type="dcterms:W3CDTF">2025-04-03T15:58:18Z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