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94acd73644f56f42b4a320a6763fe1fd2b5f4d"/>
    <w:p>
      <w:pPr>
        <w:pStyle w:val="Heading3"/>
      </w:pPr>
      <w:r>
        <w:t xml:space="preserve">Оповещение о начале общественных обсуждений</w:t>
      </w:r>
    </w:p>
    <w:p>
      <w:pPr>
        <w:pStyle w:val="FirstParagraph"/>
      </w:pPr>
      <w:r>
        <w:t xml:space="preserve">08.05.2020</w:t>
      </w:r>
    </w:p>
    <w:p>
      <w:pPr>
        <w:pStyle w:val="BodyText"/>
      </w:pPr>
      <w:r>
        <w:t xml:space="preserve">Оповещение о начале общественных обсуждений по проекту межевания (корректировки) территории квартала района Люблино, ограниченного улицей Ставропольская, проспектом 40 лет Октября, улицей Краснодарская, улицей Люблинская, в границах которого расположена «стартовая площадка» по адресу: ул. Люблинская, вл. 113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http://uvao.mos.ru/public-hearings/detail/8987237.html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2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2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2025-02-16T03:09:06Z</dcterms:created>
  <dcterms:modified xsi:type="dcterms:W3CDTF">2025-02-16T03:09:06Z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