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9897d8fd8b158c7ab09358f1eb66a49d5c8be"/>
    <w:p>
      <w:pPr>
        <w:pStyle w:val="Heading3"/>
      </w:pPr>
      <w:r>
        <w:t xml:space="preserve">ЗАКЛЮЧЕНИЕ по результатам публичных слушаний</w:t>
      </w:r>
    </w:p>
    <w:p>
      <w:pPr>
        <w:pStyle w:val="FirstParagraph"/>
      </w:pPr>
      <w:r>
        <w:t xml:space="preserve">31.12.2019</w:t>
      </w:r>
    </w:p>
    <w:p>
      <w:pPr>
        <w:pStyle w:val="BodyText"/>
      </w:pPr>
      <w:r>
        <w:t xml:space="preserve">ЗАКЛЮЧЕНИЕ по результатам публичных слушаний по материалам корректировки проекта межевания части территории квартала, ограниченного Курьяновским бульваром, 1-й Курьяновской улицей, границей ПК, Шоссейной улицей, Проектируемым проездом № 3712, проездом внутреннего пользования, 2-м Курьяновским проездом, 3-й Курьяновской улицей, район Печатники ЮВАО 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http://uvao.mos.ru/public-hearings/detail/8998869.html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2025-03-23T03:26:09Z</dcterms:created>
  <dcterms:modified xsi:type="dcterms:W3CDTF">2025-03-23T03:26:09Z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