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f7dbc9082283ab83a4bc70bfc8e483eebf75"/>
    <w:p>
      <w:pPr>
        <w:pStyle w:val="Heading3"/>
      </w:pPr>
      <w:r>
        <w:t xml:space="preserve">Кадастровая палата по Москве: доступность и качество оказания услуг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Учреждение рассказало о своей деятельности и оказываемых москвичам услугах</w:t>
      </w:r>
    </w:p>
    <w:p>
      <w:pPr>
        <w:pStyle w:val="BodyText"/>
      </w:pPr>
      <w:r>
        <w:rPr>
          <w:bCs/>
          <w:b/>
        </w:rPr>
        <w:t xml:space="preserve">На протяжении более двух десятков лет столичная Кадастровая палата оказывает услуги в сфере кадастрового учета и регистрации прав. Сегодня учреждение предоставляет сведения из Единого государственного реестра недвижимости (ЕГРН), принимает и выдает документы о кадастровом учете и регистрации прав, ведет реестр недвижимости в части внесения сведений о границах зон с особыми условиями использования территории, объектов культурного наследия и выполняет многие другие функции. Спектр видов деятельности очень широк.</w:t>
      </w:r>
    </w:p>
    <w:p>
      <w:pPr>
        <w:pStyle w:val="BodyText"/>
      </w:pPr>
      <w:r>
        <w:t xml:space="preserve">Датой основания учреждения стало 16 мая 2000 года, когда приказом Государственного комитета по земельным ресурсам № 104-12 было создано Федеральное государственное учреждение «Земельная кадастровая палата» по Москве.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Руси. В то время появились первые землеописания, которые содержали в основном описания монастырских и церковных земель, и служили основанием для наделения землей духовенства.</w:t>
      </w:r>
    </w:p>
    <w:p>
      <w:pPr>
        <w:pStyle w:val="BodyText"/>
      </w:pPr>
      <w:r>
        <w:t xml:space="preserve">Позднее в России был создан Поместный приказ – центральное исполнительное учреждение, ведавшее вопросами землевладения, учетом земель, налогами и регистрацией собственности. С тех пор кадастровая служба стала неотъемлемой частью внутреннего устройства страны.</w:t>
      </w:r>
    </w:p>
    <w:p>
      <w:pPr>
        <w:pStyle w:val="BodyText"/>
      </w:pPr>
      <w:r>
        <w:t xml:space="preserve">В наши дни процедуры ведения реестра недвижимости, постановки на кадастровый учет и регистрации прав собственности полностью переведены в электронный вид. Созданы электронные сервисы, с помощью которых заявитель не выходя из дома, может совершить любую операцию с недвижимостью.</w:t>
      </w:r>
    </w:p>
    <w:p>
      <w:pPr>
        <w:pStyle w:val="BodyText"/>
      </w:pPr>
      <w:r>
        <w:t xml:space="preserve">Для совершенствования деятельности введен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</w:t>
      </w:r>
    </w:p>
    <w:p>
      <w:pPr>
        <w:pStyle w:val="BodyText"/>
      </w:pPr>
      <w:r>
        <w:t xml:space="preserve">Одной из основных функций учреждения является предоставление сведений из Единого государственного реестра недвижимости (ЕГРН). За 2020 год Кадастровой палатой по Москве предоставлено более 5,1 млн таких сведений.</w:t>
      </w:r>
    </w:p>
    <w:p>
      <w:pPr>
        <w:pStyle w:val="BodyText"/>
      </w:pPr>
      <w:r>
        <w:t xml:space="preserve">С вступлением в силу с 1 января 2017 года Федерального закона от 13.07.2015 № 218-ФЗ «О государственной регистрации недвижимости» введен экстерриториальный принцип приема документов. Россияне получили возможность обращаться за регистрацией прав и постановкой на кадастровый учет объекта недвижимости независимо от места расположения этого объекта. Вот уже несколько лет Кадастровая палата по Москве принимает документы на государственный учет и государственную регистрацию прав по экстерриториальному принципу, что существенно сокращает временные и материальные затраты заявителей.</w:t>
      </w:r>
    </w:p>
    <w:p>
      <w:pPr>
        <w:pStyle w:val="BodyText"/>
      </w:pPr>
      <w:r>
        <w:t xml:space="preserve">За 2020 год учреждением принято более 45 тыс. заявлений по экстерриториальному принципу, а за время существования услуги количество принятых заявлений превысило 225 тыс.</w:t>
      </w:r>
    </w:p>
    <w:p>
      <w:pPr>
        <w:pStyle w:val="BodyText"/>
      </w:pPr>
      <w:r>
        <w:rPr>
          <w:iCs/>
          <w:i/>
        </w:rPr>
        <w:t xml:space="preserve">«С годами процесс оказания государственных услуг в сфере оборота недвижимости стал качественнее и доступнее. Мы прошли длинный путь от первого упоминания о кадастре до создания Единого государственного реестра недвижимости и в последствии внедрения ФГИС ЕГРН. За это время проделана колоссальная работа, но всегда есть к чему стремиться. Основа работы нашей организации – это кадровый потенциал, команда единомышленников, работающих на благо процветания столицы»,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2025-05-23T13:06:34Z</dcterms:created>
  <dcterms:modified xsi:type="dcterms:W3CDTF">2025-05-23T13:06:34Z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