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a6b2a9cce3c0d471855bb2f0025fcf7131e2331"/>
    <w:p>
      <w:pPr>
        <w:pStyle w:val="Heading3"/>
      </w:pPr>
      <w:r>
        <w:t xml:space="preserve">Границы более 4,5 тысяч зон и территорий внесены в ЕГРН за 1 полугодие 2021 года Столичной кадастровой палатой</w:t>
      </w:r>
    </w:p>
    <w:p>
      <w:pPr>
        <w:pStyle w:val="FirstParagraph"/>
      </w:pPr>
      <w:r>
        <w:t xml:space="preserve">30.07.2021</w:t>
      </w:r>
    </w:p>
    <w:p>
      <w:pPr>
        <w:pStyle w:val="BodyText"/>
      </w:pPr>
      <w:r>
        <w:rPr>
          <w:iCs/>
          <w:i/>
        </w:rPr>
        <w:t xml:space="preserve">В ходе совещания рассмотрены мероприятия, направленные на повышение качества данных Единого государственного реестра недвижимости (ЕГРН),</w:t>
      </w:r>
      <w:r>
        <w:br/>
      </w:r>
      <w:r>
        <w:rPr>
          <w:iCs/>
          <w:i/>
        </w:rPr>
        <w:t xml:space="preserve">а также внесены предложения по эффективному межведомственному взаимодействию</w:t>
      </w:r>
    </w:p>
    <w:p>
      <w:pPr>
        <w:pStyle w:val="BodyText"/>
      </w:pPr>
      <w:r>
        <w:rPr>
          <w:bCs/>
          <w:b/>
        </w:rPr>
        <w:t xml:space="preserve">23 июля 2021 года Кадастровая палата по Москве в режиме видеоконференцсвязи провела очередное заседание рабочей группы</w:t>
      </w:r>
      <w:r>
        <w:br/>
      </w:r>
      <w:r>
        <w:rPr>
          <w:bCs/>
          <w:b/>
        </w:rPr>
        <w:t xml:space="preserve">по вопросам внесения в ЕГРН сведений о зонах с особыми условиями территорий (ЗОУИТ), особо охраняемых природных территориях (ООПТ), территориях объектов культурного наследия, территориальных зонах, расположенных на территории города Москвы. Определение четких границ и внесение сведений в реестр недвижимости позволяют защитить территориальную целостность, природную среду, растительный и животный мир, а также закрепить особенности распоряжения и использования территорий.</w:t>
      </w:r>
    </w:p>
    <w:p>
      <w:pPr>
        <w:pStyle w:val="BodyText"/>
      </w:pPr>
      <w:r>
        <w:t xml:space="preserve">В мероприятии приняли участие представители Москомархитектуры, Мосгорнаследия, Департамента городского имущества г. Москвы, Департамента природопользования и охраны окружающей среды города Москвы, столичного управления Ростехнадзора, а также других ведомств, уполномоченных на установление, изменение или прекращение существования зон</w:t>
      </w:r>
      <w:r>
        <w:br/>
      </w:r>
      <w:r>
        <w:t xml:space="preserve">и территорий.</w:t>
      </w:r>
    </w:p>
    <w:p>
      <w:pPr>
        <w:pStyle w:val="BodyText"/>
      </w:pPr>
      <w:r>
        <w:t xml:space="preserve">С приветственным словом к участникам заседания обратился</w:t>
      </w:r>
      <w:r>
        <w:t xml:space="preserve"> </w:t>
      </w:r>
      <w:r>
        <w:rPr>
          <w:bCs/>
          <w:b/>
        </w:rPr>
        <w:t xml:space="preserve">заместитель директора Кадастровой палаты по Москве Алексей Некрасов</w:t>
      </w:r>
      <w:r>
        <w:t xml:space="preserve"> </w:t>
      </w:r>
      <w:r>
        <w:t xml:space="preserve">и отметил эффективное взаимодействие между ведомствами, в ходе которого в 1 квартале 2021 года ЕГРН пополнили сведениями о более 4,5 тысячах зон и территорий</w:t>
      </w:r>
      <w:r>
        <w:br/>
      </w:r>
      <w:r>
        <w:t xml:space="preserve">с особым режимом использования. Среди них установлены границы охранных зон такого объекта культурного наследия федерального значения, как «Московский Кремль».</w:t>
      </w:r>
    </w:p>
    <w:p>
      <w:pPr>
        <w:pStyle w:val="BodyText"/>
      </w:pPr>
      <w:r>
        <w:t xml:space="preserve">Кроме того, за отчетный период в ЕГРН внесены сведения о более 450 границах публичных сервитутов, порядка 300 санитарно-защитных зон, в числе которых санитарно-защитные зоны Московской железной дороги, нефтегазового комплекса, научно-производственных институтов и других объектов недвижимости.</w:t>
      </w:r>
    </w:p>
    <w:p>
      <w:pPr>
        <w:pStyle w:val="BodyText"/>
      </w:pPr>
      <w:r>
        <w:t xml:space="preserve">Отметим, что согласно действующему законодательству работа</w:t>
      </w:r>
      <w:r>
        <w:br/>
      </w:r>
      <w:r>
        <w:t xml:space="preserve">по внесению сведений о зонах и территориях должна быть завершена до 1 января 2025 года.</w:t>
      </w:r>
    </w:p>
    <w:p>
      <w:pPr>
        <w:pStyle w:val="BodyText"/>
      </w:pPr>
      <w:r>
        <w:rPr>
          <w:iCs/>
          <w:i/>
        </w:rPr>
        <w:t xml:space="preserve">«Наличие в реестре недвижимости информации о границах зон</w:t>
      </w:r>
      <w:r>
        <w:br/>
      </w:r>
      <w:r>
        <w:rPr>
          <w:iCs/>
          <w:i/>
        </w:rPr>
        <w:t xml:space="preserve">и территорий позволяет заинтересованным лицам оперативно получать информацию о правовом режиме использования участка, а также узнать</w:t>
      </w:r>
      <w:r>
        <w:br/>
      </w:r>
      <w:r>
        <w:rPr>
          <w:iCs/>
          <w:i/>
        </w:rPr>
        <w:t xml:space="preserve">об ограничениях и запретах на ведение деятельности, несовместимой с целями установления зон, что, в том числе, способствует формированию благоприятных условий для ведения бизнеса»,</w:t>
      </w:r>
      <w:r>
        <w:t xml:space="preserve"> </w:t>
      </w:r>
      <w:r>
        <w:t xml:space="preserve">– отметил</w:t>
      </w:r>
      <w:r>
        <w:t xml:space="preserve"> </w:t>
      </w:r>
      <w:r>
        <w:rPr>
          <w:bCs/>
          <w:b/>
        </w:rPr>
        <w:t xml:space="preserve">заместитель директора Кадастровой палаты по Москве Алексей Некрасов.</w:t>
      </w:r>
    </w:p>
    <w:p>
      <w:pPr>
        <w:pStyle w:val="BodyText"/>
      </w:pPr>
      <w:r>
        <w:t xml:space="preserve">Узнать входит ли земельный участок в границы какой-либо зоны можно</w:t>
      </w:r>
      <w:r>
        <w:br/>
      </w:r>
      <w:r>
        <w:t xml:space="preserve">с помощью общедоступного сервиса «Публичная кадастровая карта»</w:t>
      </w:r>
      <w:r>
        <w:br/>
      </w:r>
      <w:r>
        <w:t xml:space="preserve">на официальном сайте Росреестра (rosreestr.ru). Для этого необходимо ввести</w:t>
      </w:r>
      <w:r>
        <w:br/>
      </w:r>
      <w:r>
        <w:t xml:space="preserve">в поисковой строке кадастровый номер объекта недвижимости и включить соответствующий фильтр.</w:t>
      </w:r>
    </w:p>
    <w:p>
      <w:pPr>
        <w:pStyle w:val="BodyText"/>
      </w:pPr>
      <w:r>
        <w:t xml:space="preserve">Информация о вхождении объекта недвижимости в границы ЗОУИТ, ООПТ, территориальных зон, а также особенности осуществления деятельности</w:t>
      </w:r>
      <w:r>
        <w:br/>
      </w:r>
      <w:r>
        <w:t xml:space="preserve">в пределах таких территорий также содержится в выписке из ЕГРН. Получить сведения из реестра недвижимости можно в бумажном виде, подав обращение</w:t>
      </w:r>
      <w:r>
        <w:br/>
      </w:r>
      <w:r>
        <w:t xml:space="preserve">в Центры государственных услуг «Мои документы», или в электронном виде, воспользовавшись</w:t>
      </w:r>
      <w:r>
        <w:t xml:space="preserve"> </w:t>
      </w:r>
      <w:hyperlink r:id="rId20">
        <w:r>
          <w:rPr>
            <w:rStyle w:val="Hyperlink"/>
          </w:rPr>
          <w:t xml:space="preserve">сервисом</w:t>
        </w:r>
      </w:hyperlink>
      <w:r>
        <w:t xml:space="preserve"> </w:t>
      </w:r>
      <w:r>
        <w:t xml:space="preserve">Росреестра или</w:t>
      </w:r>
      <w:r>
        <w:t xml:space="preserve"> </w:t>
      </w:r>
      <w:hyperlink r:id="rId21">
        <w:r>
          <w:rPr>
            <w:rStyle w:val="Hyperlink"/>
          </w:rPr>
          <w:t xml:space="preserve">онлайн-сервисом</w:t>
        </w:r>
      </w:hyperlink>
      <w:r>
        <w:t xml:space="preserve"> </w:t>
      </w:r>
      <w:r>
        <w:t xml:space="preserve">Федеральной кадастровой палаты.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http://uvao.mos.ru/rosreestr/detail/10146937.html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uvao.mos.ru" TargetMode="External" /><Relationship Type="http://schemas.openxmlformats.org/officeDocument/2006/relationships/hyperlink" Id="rId22" Target="http://uvao.mos.ru/rosreestr/detail/10146937.html" TargetMode="External" /><Relationship Type="http://schemas.openxmlformats.org/officeDocument/2006/relationships/hyperlink" Id="rId20" Target="https://rosreestr.gov.ru/wps/portal/p/cc_present/EGRN_1" TargetMode="External" /><Relationship Type="http://schemas.openxmlformats.org/officeDocument/2006/relationships/hyperlink" Id="rId21" Target="https://spv.kadastr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uvao.mos.ru" TargetMode="External" /><Relationship Type="http://schemas.openxmlformats.org/officeDocument/2006/relationships/hyperlink" Id="rId22" Target="http://uvao.mos.ru/rosreestr/detail/10146937.html" TargetMode="External" /><Relationship Type="http://schemas.openxmlformats.org/officeDocument/2006/relationships/hyperlink" Id="rId20" Target="https://rosreestr.gov.ru/wps/portal/p/cc_present/EGRN_1" TargetMode="External" /><Relationship Type="http://schemas.openxmlformats.org/officeDocument/2006/relationships/hyperlink" Id="rId21" Target="https://spv.kadastr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2025-07-10T12:00:39Z</dcterms:created>
  <dcterms:modified xsi:type="dcterms:W3CDTF">2025-07-10T12:00:39Z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