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9ec54a9f123e64c5dca2e9b0410128d689f79"/>
    <w:p>
      <w:pPr>
        <w:pStyle w:val="Heading3"/>
      </w:pPr>
      <w:r>
        <w:t xml:space="preserve">Исправление сведений реестра недвижимости: вопросы и ответы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том, что делать в случае обнаружения ошибки в Едином государственном реестре недвижимости (ЕГРН)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</w:t>
      </w:r>
      <w:r>
        <w:br/>
      </w:r>
      <w:r>
        <w:t xml:space="preserve">или арифметическая ошибка либо подобная ошибка, вызвавшая несоответствие сведений, содержащихся в ЕГРН, сведениям, содержащимся в документах,</w:t>
      </w:r>
      <w:r>
        <w:br/>
      </w: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</w:t>
      </w:r>
      <w:r>
        <w:br/>
      </w:r>
      <w:r>
        <w:t xml:space="preserve">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</w:t>
      </w:r>
      <w:r>
        <w:br/>
      </w:r>
      <w:r>
        <w:t xml:space="preserve">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каком порядке исправляется реестровая ошибка?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– воспроизведенная в ЕГРН ошибка, содержащаяся</w:t>
      </w:r>
      <w:r>
        <w:br/>
      </w:r>
      <w:r>
        <w:t xml:space="preserve">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</w:t>
      </w:r>
    </w:p>
    <w:p>
      <w:pPr>
        <w:pStyle w:val="BodyText"/>
      </w:pPr>
      <w:r>
        <w:t xml:space="preserve"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>
      <w:pPr>
        <w:pStyle w:val="BodyText"/>
      </w:pPr>
      <w:r>
        <w:t xml:space="preserve">Также она может быть исправлена в порядке внесения в ЕГРН сведений, поступивших в рамках межведомственного информационного взаимодействия,</w:t>
      </w:r>
      <w:r>
        <w:br/>
      </w:r>
      <w:r>
        <w:t xml:space="preserve">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исправить реестровую ошибку на основании судебного акта?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</w:t>
      </w:r>
      <w:r>
        <w:br/>
      </w:r>
      <w:r>
        <w:t xml:space="preserve">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>
      <w:pPr>
        <w:pStyle w:val="BodyText"/>
      </w:pPr>
      <w:r>
        <w:t xml:space="preserve">Необходимо отметить, что государственный регистратор обязан внести запись</w:t>
      </w:r>
      <w:r>
        <w:br/>
      </w:r>
      <w:r>
        <w:t xml:space="preserve">в ЕГРН на основании судебного акта независимо от его участия в деле,</w:t>
      </w:r>
      <w:r>
        <w:br/>
      </w:r>
      <w:r>
        <w:t xml:space="preserve">при чем наличие судебного акта не освобождает лицо от представления иных документов, не являющихся правоустанавливающими, которые необходимы</w:t>
      </w:r>
      <w:r>
        <w:br/>
      </w:r>
      <w:r>
        <w:t xml:space="preserve">для внесения записи в ЕГРН.</w:t>
      </w:r>
    </w:p>
    <w:p>
      <w:pPr>
        <w:pStyle w:val="BodyText"/>
      </w:pPr>
      <w:r>
        <w:rPr>
          <w:iCs/>
          <w:i/>
        </w:rPr>
        <w:t xml:space="preserve">«Исправление ошибок в ЕГРН позволяет повысить качество сведений</w:t>
      </w:r>
      <w:r>
        <w:br/>
      </w:r>
      <w:r>
        <w:rPr>
          <w:iCs/>
          <w:i/>
        </w:rPr>
        <w:t xml:space="preserve">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</w:t>
      </w:r>
      <w:r>
        <w:t xml:space="preserve">», – добавил</w:t>
      </w:r>
      <w:r>
        <w:t xml:space="preserve"> </w:t>
      </w:r>
      <w:r>
        <w:rPr>
          <w:bCs/>
          <w:b/>
        </w:rPr>
        <w:t xml:space="preserve">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http://uvao.mos.ru/rosreestr/detail/10185498.html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185498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185498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2025-05-10T15:21:21Z</dcterms:created>
  <dcterms:modified xsi:type="dcterms:W3CDTF">2025-05-10T15:21:21Z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