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законодательных нюансах осуществления кадастровой деятельности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 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</w:t>
      </w:r>
      <w:r>
        <w:br/>
      </w:r>
      <w:r>
        <w:rPr>
          <w:bCs/>
          <w:b/>
        </w:rPr>
        <w:t xml:space="preserve">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 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 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 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 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 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 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 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</w:t>
      </w:r>
      <w:r>
        <w:br/>
      </w:r>
      <w:r>
        <w:t xml:space="preserve">за исключением случаев использования указанного сервиса для помещения 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 и информации, необходимых для выполнения им кадастровых работ, 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 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</w:t>
      </w:r>
      <w:r>
        <w:br/>
      </w:r>
      <w:r>
        <w:t xml:space="preserve">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 на основании разрешения на ввод объекта капитального строительства 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8-800-100-34-34 (звонок бесплатный). Эксперты ведомства дадут разъяснения 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http://uvao.mos.ru/rosreestr/detail/10419337.html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419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419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2025-05-26T03:50:07Z</dcterms:created>
  <dcterms:modified xsi:type="dcterms:W3CDTF">2025-05-26T03:50:07Z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