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и Столичный Департамент культурного наследия рассказали о результатах работ по внесению в Единый государственный реестр недвижимости (ЕГРН) сведений об объектах культурного наследия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Департаментом культурного наследия города Москвы проводятся работы</w:t>
      </w:r>
    </w:p>
    <w:p>
      <w:pPr>
        <w:pStyle w:val="BodyText"/>
      </w:pPr>
      <w:r>
        <w:rPr>
          <w:bCs/>
          <w:b/>
        </w:rPr>
        <w:t xml:space="preserve">по наполнению ЕГРН сведениями об объектах культурного наследия,</w:t>
      </w:r>
    </w:p>
    <w:p>
      <w:pPr>
        <w:pStyle w:val="BodyText"/>
      </w:pPr>
      <w:r>
        <w:rPr>
          <w:bCs/>
          <w:b/>
        </w:rPr>
        <w:t xml:space="preserve">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</w:t>
      </w:r>
    </w:p>
    <w:p>
      <w:pPr>
        <w:pStyle w:val="BodyText"/>
      </w:pP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http://uvao.mos.ru/rosreestr/detail/10626688.html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626688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0626688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2025-05-06T06:38:25Z</dcterms:created>
  <dcterms:modified xsi:type="dcterms:W3CDTF">2025-05-06T06:38:25Z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