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e09f8aa8cb073104401befa122cb3d6961f2c6"/>
    <w:p>
      <w:pPr>
        <w:pStyle w:val="Heading3"/>
      </w:pPr>
      <w:r>
        <w:t xml:space="preserve">Более 735 тысяч реестровых дел оцифровано столичным Роскадастром с начала года</w:t>
      </w:r>
    </w:p>
    <w:p>
      <w:pPr>
        <w:pStyle w:val="FirstParagraph"/>
      </w:pPr>
      <w:r>
        <w:t xml:space="preserve">27.10.2023</w:t>
      </w:r>
    </w:p>
    <w:p>
      <w:pPr>
        <w:pStyle w:val="BodyText"/>
      </w:pPr>
      <w:r>
        <w:rPr>
          <w:iCs/>
          <w:i/>
        </w:rPr>
        <w:t xml:space="preserve">Мероприятия выполняются в целях реализации государственный программы «Национальная система пространственных данных»</w:t>
      </w:r>
    </w:p>
    <w:p>
      <w:pPr>
        <w:pStyle w:val="BodyText"/>
      </w:pPr>
      <w:r>
        <w:rPr>
          <w:bCs/>
          <w:b/>
        </w:rPr>
        <w:t xml:space="preserve">За 9 месяцев 2023 года экспертами компании переведено в электронный вид более 735 тысяч реестровых дел. Перевод накопленных бумажных архивов в электронный вид позволит структурировать информацию и установить взаимосвязи документов, тем самым обеспечить оперативный доступ заявителей к данным и сократить сроки оказания государственных услуг.</w:t>
      </w:r>
    </w:p>
    <w:p>
      <w:pPr>
        <w:pStyle w:val="BodyText"/>
      </w:pPr>
      <w:r>
        <w:rPr>
          <w:iCs/>
          <w:i/>
        </w:rPr>
        <w:t xml:space="preserve">«Одной из стратегических целей госпрограммы «Национальная система пространственных данных» является достижение «цифровой зрелости» в сфере недвижимости, которая, в том числе, выражается в создании и наполнении электронного архива,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В текущем году в рамках масштабной работы по переводу документов в «цифру» нашими сотрудниками отсканировано уже более 17,4 млн страниц реестровых дел. При этом, не смотря на огромный объем работ, столичный Роскадастр не допускает отклонений от плана-графика и своевременно проводит все необходимые мероприятия по наполнению электронного архива».</w:t>
      </w:r>
    </w:p>
    <w:p>
      <w:pPr>
        <w:pStyle w:val="BodyText"/>
      </w:pPr>
      <w:r>
        <w:t xml:space="preserve">Оцифровка архивов - одна из важнейших составляющих по наполнению Единого государственного реестра недвижимости (ЕГРН) полными и точными сведениями. Электронный архив не требует помещений для хранения документов, они бессрочно хранятся в виртуальном пространстве и не подлежат изъятию или утилизации. При этом, все материалы доступны для работы в любое время, а информация надежно защищена. Кроме того, оцифровка бумажных архивных дел снижает риски утраты или порчи документов.</w:t>
      </w:r>
    </w:p>
    <w:p>
      <w:pPr>
        <w:pStyle w:val="BodyText"/>
      </w:pPr>
      <w:r>
        <w:t xml:space="preserve">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ЕГРН вносятся сведения об объекте недвижимости.</w:t>
      </w:r>
    </w:p>
    <w:p>
      <w:pPr>
        <w:pStyle w:val="BodyText"/>
      </w:pPr>
      <w:r>
        <w:t xml:space="preserve">Напомним, чтобы получить копии правоустанавливающих и других документов, на основании которых объект поставлен на кадастровый учёт необходимо подать соответствующий запрос 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  <w:r>
        <w:t xml:space="preserve"> </w:t>
      </w:r>
      <w:r>
        <w:t xml:space="preserve">Обращаем внимание, что в соответствии с Федеральным законом 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http://uvao.mos.ru/rosreestr/detail/11940530.html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940530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940530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2025-07-16T06:15:06Z</dcterms:created>
  <dcterms:modified xsi:type="dcterms:W3CDTF">2025-07-16T06:15:06Z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