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b694b8ab7019ba318a65cf975441b79bad2b29"/>
    <w:p>
      <w:pPr>
        <w:pStyle w:val="Heading3"/>
      </w:pPr>
      <w:r>
        <w:t xml:space="preserve">Столичным Роскадастром досрочно выполнен план по оцифровке реестровых дел</w:t>
      </w:r>
    </w:p>
    <w:p>
      <w:pPr>
        <w:pStyle w:val="FirstParagraph"/>
      </w:pPr>
      <w:r>
        <w:t xml:space="preserve">22.12.2023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перевода реестровых дел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в электронный вид</w:t>
      </w:r>
    </w:p>
    <w:p>
      <w:pPr>
        <w:pStyle w:val="BodyText"/>
      </w:pPr>
      <w:r>
        <w:rPr>
          <w:bCs/>
          <w:b/>
        </w:rPr>
        <w:t xml:space="preserve">За 11 месяцев 2023 года экспертами Роскадастра по Москве в полном объеме выполнен план по оцифровке реестровых дел. Мероприятия по наполнению электронного архива проводились в целях реализации государственной программы «Национальная система пространственных данных». Оцифровка накопленных документарных архивов - одна из важнейших составляющих по наполнению Единого государственного реестра недвижимости полными и точными сведениями.</w:t>
      </w:r>
    </w:p>
    <w:p>
      <w:pPr>
        <w:pStyle w:val="BodyText"/>
      </w:pPr>
      <w:r>
        <w:rPr>
          <w:iCs/>
          <w:i/>
        </w:rPr>
        <w:t xml:space="preserve">«В 2023 году проведена масштабная работа по оцифровке документов, всего нам удалось перевести в «цифру» 936 тысяч реестровых дел. При этом, в рамках перевода документов в электронный вид нашими сотрудниками отсканировано более 22,2 миллионов страниц, а общее количество оцифрованных реестровых дел превысило показатели 2022 года более чем в 2 раза. Наполнение электронного архива позволит сократить сроки оказания государственных услуг, обеспечив оперативный доступ к данным»,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t xml:space="preserve">Электронный архивный фонд столичного Роскадастра хранится бессрочно и не подлежит изъятию или утилизации. 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</w:t>
      </w:r>
      <w:r>
        <w:t xml:space="preserve"> </w:t>
      </w:r>
      <w:hyperlink r:id="rId20">
        <w:r>
          <w:rPr>
            <w:rStyle w:val="Hyperlink"/>
          </w:rPr>
          <w:t xml:space="preserve">на 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 в течение</w:t>
      </w:r>
      <w:r>
        <w:t xml:space="preserve"> </w:t>
      </w:r>
      <w:r>
        <w:rPr>
          <w:iCs/>
          <w:i/>
          <w:bCs/>
          <w:b/>
        </w:rPr>
        <w:t xml:space="preserve">трёх рабочих дней.</w:t>
      </w:r>
    </w:p>
    <w:p>
      <w:pPr>
        <w:pStyle w:val="BodyText"/>
      </w:pPr>
      <w:r>
        <w:t xml:space="preserve">Напомним, 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ЕГРН вносятся сведения об объекте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http://uvao.mos.ru/rosreestr/detail/12069031.html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069031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069031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2025-05-26T12:29:19Z</dcterms:created>
  <dcterms:modified xsi:type="dcterms:W3CDTF">2025-05-26T12:29:19Z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