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4b40cf3577fa66ba7f19a926441969bcc61e0"/>
    <w:p>
      <w:pPr>
        <w:pStyle w:val="Heading3"/>
      </w:pPr>
      <w:r>
        <w:t xml:space="preserve">Эксперты столичного Роскадастра ответили на вопросы необходимости установления зон затопления и подтопления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С наступлением весеннего сезона особенно актуальным становится вопрос о затоплениях и подтоплениях территорий. Подтопление территории происходит за счёт поднятия из-под земли грунтовых вод, а затопление – из-за разлива рек, озер, выпадения осадков. Затопление или подтопление определенных территорий может привести не только к значительному ущербу и порче имущества, но и к трагическим последствиям. В рубрике «Вопрос-ответ» представляем вашему вниманию разъяснения по вопросу установления в Едином государственном реестре недвижимости (ЕГРН) зон с особыми условиями использования территорий.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попадает ли земельный участок в границы зоны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Узнать, попал ли земельный участок или его часть в границу зоны затопления, подтопления можно с помощью общедоступного</w:t>
      </w:r>
      <w:r>
        <w:t xml:space="preserve"> </w:t>
      </w:r>
      <w:hyperlink r:id="rId20">
        <w:r>
          <w:rPr>
            <w:rStyle w:val="Hyperlink"/>
          </w:rPr>
          <w:t xml:space="preserve">сервиса «Публичная кадастровая карта»</w:t>
        </w:r>
      </w:hyperlink>
      <w:r>
        <w:t xml:space="preserve">.</w:t>
      </w:r>
    </w:p>
    <w:p>
      <w:pPr>
        <w:pStyle w:val="BodyText"/>
      </w:pPr>
      <w:r>
        <w:t xml:space="preserve">Также, узнать информацию об обременении на земельный участок в связи с частичным или полным включением его в границу зоны можно заказав выписку из ЕГРН. Сделать это можно лично в Центрах государственных услуг «Мои документы» или в электронной форме,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«Необходимость определения зон и внесения сведений о них в реестр недвижимости обусловлена такими целями, как устранение угрозы жизни и здоровью людей, а также предотвращение материального вреда гражданам. Для предупреждения подобных ситуаций в ЕГРН вносятся сведения о зонах затопления и подтопления, после чего на земельные участки, находящиеся в пределах ЗОУИТ, накладываются определенные ограничения и вводится особый режим их использования»,</w:t>
      </w:r>
      <w:r>
        <w:t xml:space="preserve"> </w:t>
      </w:r>
      <w:r>
        <w:t xml:space="preserve">- пояснила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зоны затопления и подтопления считаются установленными?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Зоны затопления и подтопления считаются установленными со дня внесения сведений о таких зонах в ЕГРН. Кроме того, в реестр недвижимости вносятся сведения в том числе, о том, что земельный участок полностью или частично расположен в границах зоны затопления и подтопления, включая ограничения по использованию земельного участка, установленные для такой зоны.</w:t>
      </w:r>
    </w:p>
    <w:p>
      <w:pPr>
        <w:pStyle w:val="BodyText"/>
      </w:pPr>
      <w:r>
        <w:t xml:space="preserve">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определяет границы зон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п. 3 Постановления Правительства от 18.04.2014 № 360 границы зон затопления, подтопления определяются решением Федерального агентства водных ресурсов (его территориальных органов) на основании предложений органа исполнительной власти субъекта Российской Федерации.</w:t>
      </w:r>
    </w:p>
    <w:p>
      <w:pPr>
        <w:pStyle w:val="BodyText"/>
      </w:pPr>
      <w:r>
        <w:t xml:space="preserve">После установления или изменения границ таких зон Федеральное агентство водных ресурсов направляет в Росреестр документы, необходимые материалы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 территории столицы нашими экспертами в полном объеме в ЕГРН внесены границы зон затопления и подтопления»,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режим использования земельных участков, попавших в зону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границах зон затопления, подтопления запрещается:</w:t>
      </w:r>
    </w:p>
    <w:p>
      <w:pPr>
        <w:pStyle w:val="BodyText"/>
      </w:pPr>
      <w:r>
        <w:t xml:space="preserve">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>
      <w:pPr>
        <w:pStyle w:val="BodyText"/>
      </w:pPr>
      <w:r>
        <w:t xml:space="preserve">2) использование сточных вод в целях повышения почвенного плодородия;</w:t>
      </w:r>
    </w:p>
    <w:p>
      <w:pPr>
        <w:pStyle w:val="BodyText"/>
      </w:pPr>
      <w:r>
        <w:t xml:space="preserve">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>
      <w:pPr>
        <w:pStyle w:val="BodyText"/>
      </w:pPr>
      <w:r>
        <w:t xml:space="preserve">4) осуществление авиационных мер по борьбе с вредными организмами.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http://uvao.mos.ru/rosreestr/detail/12394584.html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2394584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2394584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2025-05-06T04:20:34Z</dcterms:created>
  <dcterms:modified xsi:type="dcterms:W3CDTF">2025-05-06T04:20:34Z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