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f59e90de8d5d7ce9a36db7bdbe5ba33f8b248"/>
    <w:p>
      <w:pPr>
        <w:pStyle w:val="Heading3"/>
      </w:pPr>
      <w:r>
        <w:t xml:space="preserve">Роскадастр по Москве рассказал о режиме работы в праздничные дни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rPr>
          <w:bCs/>
          <w:b/>
        </w:rPr>
        <w:t xml:space="preserve">В связи с празднованием Дня России в период с 11.06.2024 по 13.06.2024 установлен следующий график работы приемных столичного Роскадастра (Филиала).</w:t>
      </w:r>
    </w:p>
    <w:p>
      <w:pPr>
        <w:pStyle w:val="BodyText"/>
      </w:pPr>
      <w:r>
        <w:rPr>
          <w:bCs/>
          <w:b/>
        </w:rPr>
        <w:t xml:space="preserve">11 июня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11:00 до 19:00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12 июня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С 13 июня 2024 года</w:t>
      </w:r>
      <w:r>
        <w:t xml:space="preserve"> </w:t>
      </w:r>
      <w:r>
        <w:t xml:space="preserve">Филиал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http://uvao.mos.ru/rosreestr/detail/12407685.html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407685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407685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2025-05-12T04:34:49Z</dcterms:created>
  <dcterms:modified xsi:type="dcterms:W3CDTF">2025-05-12T04:34:49Z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