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bc1a762b8e1712d9bfc7f9a8a479d0494cc6c09"/>
    <w:p>
      <w:pPr>
        <w:pStyle w:val="Heading3"/>
      </w:pPr>
      <w:r>
        <w:t xml:space="preserve">Эксперты столичного Роскадастра ответили на вопросы выдачи сведений по результатам оказания услуг</w:t>
      </w:r>
    </w:p>
    <w:p>
      <w:pPr>
        <w:pStyle w:val="FirstParagraph"/>
      </w:pPr>
      <w:r>
        <w:t xml:space="preserve">20.02.2025</w:t>
      </w:r>
    </w:p>
    <w:p>
      <w:pPr>
        <w:pStyle w:val="BodyText"/>
      </w:pPr>
      <w:r>
        <w:rPr>
          <w:bCs/>
          <w:b/>
        </w:rPr>
        <w:t xml:space="preserve">В столичный Роскадастр продолжают поступать вопросы граждан о получении документов по результатам регистрации прав на недвижимость.</w:t>
      </w:r>
    </w:p>
    <w:p>
      <w:pPr>
        <w:pStyle w:val="BodyText"/>
      </w:pPr>
    </w:p>
    <w:p>
      <w:pPr>
        <w:pStyle w:val="BodyText"/>
      </w:pPr>
      <w:r>
        <w:rPr>
          <w:bCs/>
          <w:b/>
        </w:rPr>
        <w:t xml:space="preserve">В рубрике «вопрос-ответ» эксперты компании пояснили тонкости оказания государственной услуги.</w:t>
      </w:r>
    </w:p>
    <w:p>
      <w:pPr>
        <w:pStyle w:val="BodyText"/>
      </w:pPr>
      <w:r>
        <w:rPr>
          <w:bCs/>
          <w:b/>
        </w:rPr>
        <w:t xml:space="preserve">Вопрос:</w:t>
      </w:r>
      <w:r>
        <w:t xml:space="preserve"> </w:t>
      </w:r>
      <w:r>
        <w:t xml:space="preserve">Ранее собственник подавал документы на регистрацию прав. Может ли его законный наследник получить документы по итогам регистрации прав?</w:t>
      </w:r>
    </w:p>
    <w:p>
      <w:pPr>
        <w:pStyle w:val="BodyText"/>
      </w:pPr>
      <w:r>
        <w:rPr>
          <w:bCs/>
          <w:b/>
        </w:rPr>
        <w:t xml:space="preserve">Ответ:</w:t>
      </w:r>
      <w:r>
        <w:t xml:space="preserve"> </w:t>
      </w:r>
      <w:r>
        <w:t xml:space="preserve">Невостребованные документы, указанные в пункте 59 Порядка ведения, порядка и сроков хранения реестровых дел (приказ Росреестра</w:t>
      </w:r>
    </w:p>
    <w:p>
      <w:pPr>
        <w:pStyle w:val="BodyText"/>
      </w:pPr>
      <w:r>
        <w:t xml:space="preserve">от 28.06.2022 № П/0254) могут быть выданы наследникам заявителей, представившим в орган регистрации прав данные документы, при наличии соответствующего свидетельства от нотариуса.</w:t>
      </w:r>
    </w:p>
    <w:p>
      <w:pPr>
        <w:pStyle w:val="BodyText"/>
      </w:pPr>
      <w:r>
        <w:rPr>
          <w:iCs/>
          <w:i/>
        </w:rPr>
        <w:t xml:space="preserve">«Свидетельство о праве на наследство является основным документом, подтверждающим право наследника. Если вы наследуете недвижимость,</w:t>
      </w:r>
    </w:p>
    <w:p>
      <w:pPr>
        <w:pStyle w:val="BodyText"/>
      </w:pPr>
    </w:p>
    <w:p>
      <w:pPr>
        <w:pStyle w:val="BodyText"/>
      </w:pPr>
      <w:r>
        <w:rPr>
          <w:iCs/>
          <w:i/>
        </w:rPr>
        <w:t xml:space="preserve">то свидетельство будет документом-основанием для внесения регистратором сведений об изменении собственника в Единый государственный реестр недвижимости»,</w:t>
      </w:r>
      <w:r>
        <w:t xml:space="preserve"> </w:t>
      </w:r>
      <w:r>
        <w:t xml:space="preserve">– добавил</w:t>
      </w:r>
      <w:r>
        <w:t xml:space="preserve"> </w:t>
      </w:r>
      <w:r>
        <w:rPr>
          <w:bCs/>
          <w:b/>
        </w:rPr>
        <w:t xml:space="preserve">заместитель директора филиала ППК «Роскадастр» по Москве Алексей Некрасов.</w:t>
      </w:r>
    </w:p>
    <w:p>
      <w:pPr>
        <w:pStyle w:val="BodyText"/>
      </w:pPr>
      <w:r>
        <w:rPr>
          <w:bCs/>
          <w:b/>
        </w:rPr>
        <w:t xml:space="preserve">Вопрос:</w:t>
      </w:r>
      <w:r>
        <w:t xml:space="preserve"> </w:t>
      </w:r>
      <w:r>
        <w:t xml:space="preserve">Покупатель подавал на государственную регистрацию два экземпляра договора, могу ли я по окончании регистрации получить один из них?</w:t>
      </w:r>
    </w:p>
    <w:p>
      <w:pPr>
        <w:pStyle w:val="BodyText"/>
      </w:pPr>
      <w:r>
        <w:rPr>
          <w:bCs/>
          <w:b/>
        </w:rPr>
        <w:t xml:space="preserve">Ответ:</w:t>
      </w:r>
      <w:r>
        <w:t xml:space="preserve"> </w:t>
      </w:r>
      <w:r>
        <w:t xml:space="preserve">Полагаем, что об этом Вы можете договориться с контрагентом.</w:t>
      </w:r>
    </w:p>
    <w:p>
      <w:pPr>
        <w:pStyle w:val="BodyText"/>
      </w:pPr>
      <w:r>
        <w:t xml:space="preserve">Что же касается официальной выдачи, то в целях осуществления государственной регистрации перехода права собственности на основании сделки</w:t>
      </w:r>
    </w:p>
    <w:p>
      <w:pPr>
        <w:pStyle w:val="BodyText"/>
      </w:pPr>
      <w:r>
        <w:t xml:space="preserve">в орган регистрации прав заявление подается каждой стороной сделки, соответственно, опись принятых документов выдается также каждой стороне сделке в соответствии с принятыми от нее документами. В последующем невостребованные документы могут быть выданы той стороне сделки, которой они были представлены в соответствии с описью.</w:t>
      </w:r>
    </w:p>
    <w:p>
      <w:pPr>
        <w:pStyle w:val="BodyText"/>
      </w:pPr>
      <w:r>
        <w:t xml:space="preserve">Согласно разъяснениям Росреестра, если одна сторона сделки, представившая в орган регистрации прав два экземпляра правоустанавливающего документа, после завершения регистрационных действий откажется от получения одного экземпляра такого документа, он может быть выдан второй стороне сделки.</w:t>
      </w:r>
    </w:p>
    <w:p>
      <w:pPr>
        <w:pStyle w:val="BodyText"/>
      </w:pPr>
      <w:r>
        <w:t xml:space="preserve">Напомним, получить общедоступные сведения из ЕГРН в электронном виде может любое заинтересованное лицо, воспользовавшись</w:t>
      </w:r>
      <w:r>
        <w:t xml:space="preserve"> </w:t>
      </w:r>
      <w:hyperlink r:id="rId20">
        <w:r>
          <w:rPr>
            <w:rStyle w:val="Hyperlink"/>
          </w:rPr>
          <w:t xml:space="preserve">Единым порталом государственных и муниципальных услуг</w:t>
        </w:r>
      </w:hyperlink>
      <w:r>
        <w:t xml:space="preserve">, доступ к которому возможен через официальный сайт</w:t>
      </w:r>
      <w:r>
        <w:t xml:space="preserve"> </w:t>
      </w:r>
      <w:hyperlink r:id="rId21">
        <w:r>
          <w:rPr>
            <w:rStyle w:val="Hyperlink"/>
          </w:rPr>
          <w:t xml:space="preserve">Роскадастра</w:t>
        </w:r>
      </w:hyperlink>
      <w:r>
        <w:t xml:space="preserve">.</w:t>
      </w:r>
    </w:p>
    <w:p>
      <w:pPr>
        <w:pStyle w:val="BodyText"/>
      </w:pPr>
      <w:r>
        <w:t xml:space="preserve">По любым вопросам, касающимся деятельности учреждения, можно обращаться по номеру Ведомственного центра телефонного обслуживания (ВЦТО)</w:t>
      </w:r>
      <w:r>
        <w:t xml:space="preserve"> </w:t>
      </w:r>
      <w:r>
        <w:rPr>
          <w:bCs/>
          <w:b/>
        </w:rPr>
        <w:t xml:space="preserve">8-800-100-34-34</w:t>
      </w:r>
      <w:r>
        <w:t xml:space="preserve"> </w:t>
      </w:r>
      <w:r>
        <w:t xml:space="preserve">(звонок бесплатный).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http://uvao.mos.ru/rosreestr/detail/12817565.html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uvao.mos.ru" TargetMode="External" /><Relationship Type="http://schemas.openxmlformats.org/officeDocument/2006/relationships/hyperlink" Id="rId22" Target="http://uvao.mos.ru/rosreestr/detail/12817565.html" TargetMode="External" /><Relationship Type="http://schemas.openxmlformats.org/officeDocument/2006/relationships/hyperlink" Id="rId21" Target="https://kadastr.ru/services/zakaz-vypisok-iz-egrn3442/" TargetMode="External" /><Relationship Type="http://schemas.openxmlformats.org/officeDocument/2006/relationships/hyperlink" Id="rId20" Target="https://www.gosuslugi.ru/egr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uvao.mos.ru" TargetMode="External" /><Relationship Type="http://schemas.openxmlformats.org/officeDocument/2006/relationships/hyperlink" Id="rId22" Target="http://uvao.mos.ru/rosreestr/detail/12817565.html" TargetMode="External" /><Relationship Type="http://schemas.openxmlformats.org/officeDocument/2006/relationships/hyperlink" Id="rId21" Target="https://kadastr.ru/services/zakaz-vypisok-iz-egrn3442/" TargetMode="External" /><Relationship Type="http://schemas.openxmlformats.org/officeDocument/2006/relationships/hyperlink" Id="rId20" Target="https://www.gosuslugi.ru/egr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2025-05-15T20:28:38Z</dcterms:created>
  <dcterms:modified xsi:type="dcterms:W3CDTF">2025-05-15T20:28:38Z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