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мятка-о-газовой-безопасности"/>
    <w:p>
      <w:pPr>
        <w:pStyle w:val="Heading3"/>
      </w:pPr>
      <w:r>
        <w:t xml:space="preserve">Памятка о газовой безопасности</w:t>
      </w:r>
    </w:p>
    <w:p>
      <w:pPr>
        <w:pStyle w:val="FirstParagraph"/>
      </w:pPr>
      <w:r>
        <w:t xml:space="preserve">21.12.2022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http://uvao.mos.ru/the-structure-of-the-municipal-economy-complex-on-the-territory-of-the-afternoon/jsc-mosgaz-warns/detail/11306003.html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the-structure-of-the-municipal-economy-complex-on-the-territory-of-the-afternoon/jsc-mosgaz-warns/detail/113060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the-structure-of-the-municipal-economy-complex-on-the-territory-of-the-afternoon/jsc-mosgaz-warns/detail/113060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2025-07-30T16:47:06Z</dcterms:created>
  <dcterms:modified xsi:type="dcterms:W3CDTF">2025-07-30T16:47:06Z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